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22.05.2019, оставленным без изменения постановлением Девятого арбитражного апелляционного суда от 19.08.2019 и постановлением Арбитражного суда Московского округа от 26.11.2019, исковые требования удовлетворены. В кассационной жалобе общество просит об отмене судебных актов, ссылаясь на неправомерное признание изменения контракта не влекущим списание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в ситуации наличия в статье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части 1.1, предусматривавшей порядок изменения в 2015, 2016 годах условий контрактов о цене и количестве товара, согласованное сторонами указание на пункт 1 части 1 этой статьи в качестве основания для изменения в этот период условий о цене и количестве правомерно признал незаконным и соответственно не слагающим в силу постановления Правительства Российской Федерации от 14.03.2016 № 190 «О случаях и порядке предоставления заказчиком в 2016 году отсрочки уплаты неустоек (штрафов, пеней) и (или) осуществления списания начисленных сумм неустоек (штрафов, пеней)» обязанность по уплате неустойки за нарушение срока поставки.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«Фармрива»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