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10 апреля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Республики Татарстан от 01.07.2019, оставленным без изменения постановлением Одиннадцатого арбитражного апелляционного суда от 23.09.2019, взысканы 40 000 рублей неустойки за период с 08.03.2016 по 08.03.2017 и неустойка с 09.03.2017 по день фактического исполнения обязательства из расчета 1% в день от страхового возмещения в размере 151 909 рублей 38 копеек, но не более 400 000 рублей. Арбитражный суд Поволжского округа постановлением от 29.11.2019 решение от 01.07.2019 и постановление Одиннадцатого арбитражного апелляционного суда от 23.09.2019 оставил без изменения. В кассационной жалобе компания просит об отмене судебных актов, ссылаясь на игнорирование допущенного истцом злоупотребления правом.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Судами установлена просрочка исполнения компанией обязательства по выплате страхового возмещения, в связи с чем начисление неустойки на несвоевременно выплаченную сумму возмещения соответствует требованиям статьи 12 Федерального закона от 25.04.2002 № 40-ФЗ «Об обязательном страховании гражданской ответственности владельцев транспортных средств». Реализация истцом полученных на основании договора цессии прав не является злоупотреблением правом. Исходя из обстоятельств правоотношений к неустойке применена статья 333 Гражданского кодекса Российской Федерации. Руководствуясь статьями 291.6 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акционерному обществу «Страховая компания «Армеец»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 Суд: Верховный Суд РФ (подробнее) Судьи дела: Ксенофонтова Н.А. (судья) (подробнее) Судебная практика по: Уменьшение неустойки Судебная практика по применению нормы ст. 333 ГК РФ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