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26.06.2019, оставленным без изменения постановлением Тринадцатого арбитражного апелляционного суда от 27.09.2019, иск удовлетворен.Постановлением Арбитражного суда Северо-Западного округа от 30.01.2020 решение суда первой инстанции и постановление суда апелляционной инстанции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предприниматель, ссылаясь на нарушение судом округа норм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указал на необходимость установить все обстоятельства, имеющие существенное значение для правильного разрешения спора, и дать оценку представленным в материалы дела доказательствам.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