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29.05.2019 иск удовлетворен. Восемнадцатый арбитражный апелляционный суд постановлением от 21.08.2019 отменил решение от 29.05.2019 и отказал в удовлетворении иска. Арбитражный суд Уральского округа постановлением от 18.12.2019 постановление Восемнадцатого арбитражного апелляционного суда от 21.08.2019 оставил без изменения. В кассационной жалобе предприниматель просит об отмене судебных актов апелляционного и окружного судов, ссылаясь на судебное признание незаконным бездействия службы и связанную с ним невозможность получения присужденной суммы.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требуемые убытки не состоят в причинно-следственной связи с незаконным бездействием, необходимой в силу 15, 1069 Гражданского кодекса Российской Федерации для возложения на службу обязанности их возмещения. Исходя из обстоятельств ведения исполнительного производства причиной неисполнения принятого в пользу предпринимателя решения суда признано имущественное положение должника. Иная оценка заявителем обстоятельств возникновения убытков не составляет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