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принятым при новом рассмотрении дела решением Арбитражного суда Волгоградской области от 29.07.2019, оставленным без изменения постановлением Двенадцатого арбитражного апелляционного суда от 04.10.2019, иск удовлетворен. Арбитражный суд Поволжского округа постановлением от 23.12.2019 решение от 29.07.2019 и постановление Двенадцатого арбитражного апелляционного суда от 04.10.2019 оставил без изменения. В кассационной жалобе общество «Управление отходами – Волгоград» просит об отмене судебных актов, ссылаясь на взыскание убытков с превышением законного предела.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Подлежащая возмещению ответчиком как причинителем вреда сумма убытков определена в соответствии с правилами статей 15 , 1064 Гражданского кодекса Российской Федерации. Нормы Федерального закона «Об обязательном страховании гражданской ответственности владельцев транспортных средств» не применимы к спорным правоотношениям.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«Управление отходами – Волгоград»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Судьи дела: Ксенофонтова Н.А.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