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26.03.2019 в удовлетворении иска отказано. Одиннадцатый арбитражный апелляционный суд постановлением от 16.07.2019 отменил решение от 26.03.2019 и взыскал со страховой компании 2 937 016 рублей 77 копеек страхового возмещения, 283 340 рублей 23 копейки процентов за пользование чужими денежными средствами за период с 25.12.2016 по 10.01.2018 и далее за период с 11.01.2018 до момента фактической уплаты страхового возмещения. Арбитражный суд Поволжского округа постановлением от 27.11.2019 уменьшил страховое возмещение до 2 787 016 рублей 77 копеек, дело в части 2 взыскания процентов за пользование чужими денежными средствами направил на новое рассмотрение в суд апелляционной инстанции. В кассационной жалобе страховая компания просит об отмене судебных актов апелляционного и окружного судов, ссылаясь на неосновательное признание наличия страхового случая и неприменение последствий невозможности суброгации.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Доводы страховой компании о непредставлении истцом документов компетентных органов, подтверждающих факт и причину убытков, и передаче груза неустановленному лицу, опровергаются установленными судами обстоятельствами. Отказ истца от иска к контрагенту по договору транспортной экспедиции не указывает на действия, препятствующие осуществлению суброгации, поскольку истец правомерно выбрал способом возмещения убытков реализацию требования к страховой компании. Суды установили наступление страхового случая, отвечающего критериям, согласованным в договоре от 06.12.2016 № 184 об общих условиях страхования груза, поэтому обязали страховую компанию выплатить страховое возмещение в соответствии с договором.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«Объединенная страховая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