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28.06.2019, оставленным без изменения постановлением Девятого арбитражного апелляционного суда от 23.09.2019, в удовлетворении иска отказано в связи с недоказанностью наступления отвечающего договорным критериям страхового случая. Арбитражный суд Московского округа постановлением от 12.12.2019 решение от 28.06.2019 и постановление Девятого арбитражного апелляционного суда от 23.09.2019 оставил без изменения. В кассационной жалобе общество «ДНС Ритейл» просит об отмене судебных актов, ссылаясь на игнорирование судами попадания произошедшего события под застрахованный риск пожара.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929 Гражданского кодекса Российской Федерации при страховании производится возмещение убытков в застрахованном имуществе, имеющих причинно-следственную связь с определенным договором страховым событием. Суды установили, что повреждение застрахованного имущества возникло по причине неосторожного обращения с огнем стороннего лица и исключение таких убытков из числа застрахованных в рамках договора от 26.10.2017 № 2008011-0842745/17 ИМЮ рисков, поэтому отказали во взыскании страхового возмещения в соответствии с законом и договором.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«ДНС Ритейл»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