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12.07.2019, оставленным без изменения постановлением Восемнадцатого арбитражного апелляционного суда от 26.09.2019, взыскано 257 216 рублей убытков и 20 083 рубля 88 копеек расходов на услуги представителя. Арбитражный суд Уральского округа постановлением от 25.12.2019 решение от 12.07.2019 и постановление Восемнадцатого арбитражного апелляционного суда от 26.09.2019 оставил без изменения. В кассационной жалобе предприниматель просит об отмене судебных актов как незаконных, ссылаясь на недобросовестность причастных к перевозке лиц.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повреждение груза произошло в процессе исполнения договора-заявки от 04.07.2017 № 363, в силу которого ответственным за сохранность груза лицом является предприниматель, поэтому возложили на нее обязанность возмещения убытков в соответствии с договором и статьей 796 Гражданского кодекса Российской Федерации. Иная оценка заявителем обстоятельств осуществления перевозки опровергается установленными обстоятельствами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