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17.06.2019 заявленные требования удовлетворены. Постановлением Десятого арбитражного апелляционного суда от 06.09.2019 решение суда первой инстанции отменено, в удовлетворении заявленных требований отказано. Постановлением Арбитражного суда Московского округа от 20.12.2019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судебные акты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заявленных требований, суд апелляционной инстанции, с которым согласился суд округа, повторно оценив по правилам статьи 71 Арбитражного процессуального кодекса Российской Федерации представленные в материалы дела доказательства, пришел к выводу о правомерности одностороннего отказа ответчика от муниципального контракта ввиду наличия доказательств ненадлежащего исполнения истцом его условий. Довод заявителя о том, что направленное ответчиком по электронной почте сообщение не является уведомлением о расторжении контракта, был предметом рассмотрения апелляционного суда и мотивированно отклонен со ссылкой на условия контракта. Ссылка судов на положения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 не привела к принятию неправильных судебных актов по существу спора.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«Технопарк»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