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24.05.2019, оставленным без изменения постановлением Семнадцатого арбитражного апелляционного суда от 28.08.2019, в удовлетворении иска отказано в связи с недоказанностью страхового случая. Арбитражный суд Уральского округа постановлением от 03.12.2019 решение от 24.05.2019 и постановление Семнадцатого арбитражного апелляционного суда от 28.08.2019 оставил без изменения. В кассационной жалобе общество «Практика ЛК» просит об отмене судебных актов, ссылаясь на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общество «Практика ЛК» не совершило предусмотренные законом и договором страхования действия, позволяющие установить обстоятельства заявленного события и отнести его к страховым случаям. Заложенное в доводах жалобы оспаривание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«Практика ЛК»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