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01.04.2019, оставленным без изменения постановлением Семнадцатого арбитражного апелляционного суда от 16.08.2019 и постановлением Арбитражного суда Уральского округа от 16.12.2019, в удовлетворении заявленных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статей 198 , 201 Арбитражного процессуального кодекса Российской Федерации, статьи 49 Градостроительного кодекса Российской Федерации, учитывая обстоятельства, установленные вступившим в законную силу решением Арбитражного суда Свердловской области от 09.11.2018 по делу № А60-7644/2018, принимая во внимание, что общество не является ни застройщиком, ни техническим заказчиком обжалуемого заключения экспертизы, доказательства, свидетельствующие о нарушении его прав и законных интересов в сфере предпринимательской и иной экономической деятельности отсутствуют, равно как и доказательства несоответствия названного заключения требованиям законодательства, пришли к выводу об отсутствии оснований для признания его недействительным. Кроме того, суды указали на пропуск обществом срока, установленного частью 4 статьи 198 Арбитражного процессуального кодекса Российской Федерации.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«Уралбиофарм»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ОАО "Уралбиофарм" (подробнее) Ответчики: ООО "ЭКСПЕРТНЫЙ ЦЕНТР ПРОЕКТНЫХ РЕШЕНИЙ" (подробнее) ООО "Энергоремстройкомплект"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