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на указанные судебные акты АО «Новороссийский судоремонтный завод» обратилось с заявлением о зачете государственной пошлины, уплаченной по платежному поручению от 23.11.2018 № 3810, в счет уплаты государственной пошлины за подачу кассационной жалобы в Судебную коллегию Верховного Суда Российской Федерации. Согласно статьям 102, 104 Арбитражного процессуального кодекса Российской Федерации основания и порядок уплаты,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 Пунктом 6 статьи 333.40 Налогового кодекса Российской Федерации предусмотрено, что плательщик государственной пошлины имеет право на 2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По результатам рассмотрения заявления акционерного общества «Новороссийский судоремонтный завод» и представленных в его обоснование документов установлены основания для его удовлетворения и проведения зачета уплаченной государственной пошлины в сумме 3 000 рублей и возврата государственной пошлины в сумме 13 660 рублей. Руководствуясь статьями 102, 104, 184 и 185 Арбитражного процессуального кодекса Российской Федерации и статьями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акционерного общества «Новороссийский судоремонтный завод» о зачете государственной пошлины удовлетворить. Зачесть 3 000 рублей государственной пошлины, уплаченной по платежному поручению от 23.11.2018 № 3810 (в сумме 16 660 рублей), в счет уплаты государственной пошлины за рассмотрение кассационной жалобы на решение Арбитражного суда Краснодарского края от 05.06.2019 по делу № А32-14906/2019, постановление Пятнадцатого арбитражного апелляционного суда от 01.10.2019 и постановление Арбитражного суда Северо-Кавказского округа от 24.01.2020 по тому же делу. Возвратить акционерному обществу «Новороссийский судоремонтный завод» государственную пошлину в размере 13 660 (тринадцать тысяч шестьсот шестьдесят) рублей, уплаченную по платежному поручению от 23.11.2018 № 3810 в общей сумме 16 660 рублей.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