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«Лукойл- Резервнефтепродукт» обратилось в Арбитражный суд Республики Башкортостан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«ОПТАН-Уфа» 33 000 рублей штрафа за сверхнормативный оборот цистерн. Решением Арбитражного суда Республики Башкортостан от 30.04.2019 иск удовлетворен. Постановлением Восемнадцатого арбитражного апелляционного суда от 23.07.2019 решение суда первой инстанции оставлено без изменения. Арбитражный суд Уральского округа постановлением от 18.12.2019 указанные судебные акты оставил без изменения. Общество с ограниченной ответственностью «ОПТАН-Уфа»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нарушение ответчиком сроков возврата порожних вагонов-цистерн, согласованных сторонами, руководствуясь положениями статей 329 , 330 Гражданского кодекса Российской Федерации, суды пришли к выводу об обоснованности иска. Доводы, изложенные в жалобе, о выгрузке вагонов (цистерн) в пределах нормативного срока и простаивании после разгрузки по вине истца были рассмотрены судами и получили надлежащую оценку. Указанные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норм процессуального права, которые являются безусловными основаниями для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«ОПТАН-Уфа»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"Лукойл-Резервнефтепродукт" (подробнее) Ответчики: ООО "Оптан-Уфа"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