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просит об отсрочке уплаты государственной пошлины.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 учетом имущественного положения заявителя суд счел ходатайство подлежащим удовлетворению. Руководствуясь статьей 184 Арбитражного процессуального кодекса Российской Федерации, статьей 333.22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обществу с ограниченной ответственностью «СК «Диамант» отсрочку уплаты государственной пошлины до окончания производства по поданной им кассационной жалобе.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