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03.07.2019, оставленным без изменения постановлением Девятого арбитражного апелляционного суда от 19.09.2019 и постановлением Арбитражного суда Московского округа от 23.12.2019, иск удовлетворен. В кассационной жалобе, поданной в Верховный Суд Российской Федерации, финансовый управляющий, ссылаясь на нарушение судами норм материального права,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заявителя не установлено. Разрешая спор и удовлетворяя исковые требования, суды руководствовались статьями 309 , 310 , 382 Гражданского кодекса Российской Федерации и исходили из доказанности факта наличия у ответчика задолженности по договору об уступке от 12.01.2016 № 1/16, право требования по которому перешло истцу на основании договора об уступке от 08.10.2018 № 1а. При этом обстоятельства, свидетельствующие о мнимости сделок, судами не установлены.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финансового управляющего имуществом ФИО1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а/у Полянкин В.А. (подробнее) ООО "ФИН-АГРО" (подробнее) ООО "Финэко" (подробнее) Иные лица: ф/у Метлицкий И.И.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