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«Бизнес Транс Сервис» обратилось в Арбитражный суд Самарской области с иском о взыскании с общества с ограниченной ответственностью «Автотранс» 14 156 687 рублей убытков. К участию в деле в качестве второго ответчика привлечено общество с ограниченной ответственностью «Страховая компания «Согласие». Судом принято уточнение исковых требований, в соответствии с которыми истец просил взыскать с ООО «СК «Согласие» 3 790 952 рубля 20 копеек и с ООО «Автотранс» 6 665 735 рублей 79 копеек. Решением Арбитражного суда Самарской области от 26.04.2019 иск удовлетворен в части взыскания с ООО «Автотранс» в пользу ООО «Бизнес Транс Сервис» 6 661 712 рублей 11 копеек убытков, в удовлетворении иска к ООО СК «Согласие» отказано. Постановлением Одиннадцатого арбитражного апелляционного суда от 29.08.2019 решение суда первой инстанции оставлено без изменения. Арбитражный суд Поволжского округа постановлением от 17.01.2020 указанные судебные акты отменил и направил дело на новое рассмотрение в Арбитражный суд Самарской области. Общество с ограниченной ответственностью «Страховая компания «Согласие»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"Бизнес Транс Сервис" (подробнее) Ответчики: ООО "Автотранс"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