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04.06.2019, оставленным без изменения постановлением Девятого арбитражного апелляционного суда от 04.09.2019 и постановлением Арбитражного суда Московского округа от 02.12.2019, в иске отказано. В кассационной жалобе общество «Транссервис» просит об отмене указанных судебных актов, ссылаясь на одностороннее изменение ответчиком его условий без уведомления в согласованном порядке и принятие в обоснование доводов истца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отказ ответчика от договора соответствующим статьям 450 , 451 , 451.1 Гражданского кодекса Российской Федерации, установив нарушение истцом его условий. Довод общества «Транссервис» об отсутствии осведомленности об изменении договора от 31.03.2016 признан неосновательным с учетом установленного судами выявления неоднократно ответчиком известного обществу нарушения договора, составляющего в силу его условий основание для одностороннего отказа от его исполнения.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"Транссервис" (подробнее) Ответчики: ООО "ДАЙМЛЕР КАМАЗ РУС"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