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25.03.2019, оставленным без изменения постановлением Тринадцатого арбитражного апелляционного суда от 03.07.2019 и постановлением Арбитражного суда Северо-Западного округа от 09.12.2019, с учреждения в пользу общества взыскано 1 516 852 руб. 20 коп. процентов за пользование чужими денежными средствами, в удовлетворении остальной части иска отказано. В кассационной жалобе, поданной в Верховный Суд Российской Федерации, учреждение,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учитывая обстоятельства, установленные вступившими в законную силу судебными актами по делам №№ А56-41114/2017, А56-69988/2017, руководствуясь статьями 395 , 1107 Гражданского кодекса Российской Федерации, пришли к выводу о наличии оснований для начисления ответчику процентов за пользование чужими денежными средствами и, проверив и скорректировав расчет истца, частично удовлетворили иск,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казенного учреждения Ленинградской области «Управление автомобильных дорог Ленинградской области»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"СТРОИТЕЛЬНАЯ КОМПАНИЯ БАЛТ-СТРОЙ" (подробнее) Ответчики: Государственное казенное учреждение Ленинградской области "Управление автомобильных дорог Ленинградской области"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