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10.04.2019 исковые требования удовлетворены. Постановлением Девятнадцатого арбитражного апелляционного суда от 31.07.2019, оставленным без изменения постановлением Арбитражного суда Центрального округа от 26.11.2019, решение отменено, в иске отказано. В кассационной жалобе общество просит о пересмотре постановлений апелляционного и окружного судов, ссылаясь на игнорирование отказа ответчика от устранения недостатков.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рассмотревший дело апелляционный суд, руководствуясь статьями 309 , 310 , 450 , 779 , 781 Гражданского кодекса Российской Федерации и установив отработку ответчиком перечисленного аванса, правомерно отказал в иске. Требуемая в жалобе переоценка обстоятельств исполнения договора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«Ворматик»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"Ворматик" (подробнее) ООО "ЕАСТорг" (подробнее) Ответчики: ИП Клепиков Иван Сергеевич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