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10.06.2019, оставленным без изменения постановлением Девятого арбитражного апелляционного суда от 03.10.2019, взыскано 1 423 219 рублей 68 копеек по банковской гарантии и 106 741 рубль 50 копеек неустойки. Арбитражный суд Московского округа постановлением от 21.01.2020 решение от 10.06.2019 и постановление Девятого арбитражного апелляционного суда от 03.10.2019 оставил без изменения. В кассационной жалобе банк просит об отмене судебных актов, ссылаясь на неуказание в требовании о платеже нарушенного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установили, что спорное требование о платеже заявлено на полную гарантийную сумму в связи с тем, что принципал не приступил к выполнению работ, о чем банк был проинформирован в первом предъявленном в рамках гарантии от 06.07.2018 № 116095 и исполненном банком требовании о платеже на часть гарантийной суммы. Указанное обстоятельство не позволяло банку отказать в платеже и ссылаться на требование исполнения несуществующего обязательства.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«Абсолют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 МО "Управление автомобильных дорог Московской области "Мосавтодор" (подробнее) Ответчики: ПАО Акционерный коммерческий банк "Абсолют 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