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23.05.2019, оставленным без изменения постановлением Четвертого арбитражного апелляционного суда от 10.10.2019 и постановлением Арбитражного суда Восточно-Сибирского округа от 20.01.2020, иск удовлетворен. В кассационной жалобе, поданной в Верховный Суд Российской Федерации, министерство,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Принимая обжалуемые судебные акты, суды первой и апелляционной инстанций, с которыми впоследствии согласился суд округа, руководствуясь положениями статей 113 , 399 Гражданского кодекса Российской Федерации, Федерального закона от 14.11.2002 № 161-ФЗ «О государственных и муниципальных унитарных предприятиях», оценив представленные в материалы дела доказательства, установив наличие оснований для привлечения субсидиарного должника к ответственности по долгам основного должника, удовлетворили иск, взыскав с Республики Саха (Якутия) как с собственника имущества предприятия имеющуюся задолженность.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финансов Республики Саха (Якутия)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Шипкова Ольга Александровна (подробнее) ООО "Ангарская судоверфь" (подробнее) ООО "Гладман" (подробнее) Ответчики: Министерство финансов Республики Саха (Якутия)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