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«Крафттранс Атлас» обратилось в Арбитражный суд города Москвы с иском о взыскании с общества с ограниченной ответственностью «Теплосеть» 2 463 299 рублей 37 копеек. Решением Арбитражного суда города Москвы от 07.06.2019 в удовлетворении иска отказано. Постановлением Девятого арбитражного апелляционного суда от 03.09.2019 решение суда первой инстанции оставлено без изменения. Арбитражный суд Московского округа постановлением от 16.12.2019 указанные судебные акты оставил без изменения. Общество с ограниченной ответственностью «Крафттранс Атлас»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309 , 310 , 431 , 801 , 805 Гражданского кодекса Российской Федерации, Федерального закона от 30.06.2003 № 87-ФЗ «О транспортно-экспедиционной деятельности» и исходили из недоказанности истцом того, что затраты экспедитора, понесенные в ходе исполнения обязательств по договору, являются дополнительными непредвиденными расходами, возникшими в результате виновных действий ответчика, и недоказанности несения дополнительных расходов в интересах клиента.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«Крафттранс Атлас»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"КРАФТТРАНС АТЛАС" (подробнее) Ответчики: ООО "Теплосеть"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