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21.05.2019, оставленным без изменения постановлением Девятого арбитражного апелляционного суда от 17.09.2019 и постановлением Арбитражного суда Московского округа от 09.12.2019, в удовлетворении исковых требований отказано. В кассационной жалобе, поданной в Верховный Суд Российской Федерации, учреждение,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(арендодатель) и учреждение (арендатор) 14.11.2014 заключили договор аренды № 15Д/11 нежилых помещений площадью 371 кв. м, расположенных на 11-м этаже здания по адресу: Москва, Ленинский пр., д. 15А. Учреждение, обращаясь в арбитражный суд с настоящим иском, сослалось на следующее: в ходе проведенного ремонта арендуемых помещений им были приобретены и установлены перегородки и кондиционеры; письмом от 22.08.2016 арендатор уведомил арендодателя о расторжении договора аренды с 23.12.2016, однако последний с 12.12.2016 заблокировал доступ учреждению к арендуемым помещениям, а впоследствии не исполнил претензии о возврате отделимых улучшений и возмещении стоимости имущества.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623 , 1105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неподтвержденности факта того, что поименованные истцом работы квалифицируются как отделимые улучшения.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частного учреждения обеспечения развития международной региональной сети атомного энергопромышленного комплекса «Русатом-Международная Сеть»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ОБЕСПЕЧЕНИЯ РАЗВИТИЯ МЕЖДУНАРОДНОЙ РЕГИОНАЛЬНОЙ СЕТИ АТОМНОГО ЭНЕРГОПРОМЫШЛЕННОГО КОМПЛЕКСА "РУСАТОМ-МЕЖДУНАРОДНАЯ СЕТЬ" (подробнее) Ответчики: ООО "Стимул Групп"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