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14.06.2019, оставленным без изменения постановлением Девятого арбитражного апелляционного суда от 20.08.2019 и постановлением Арбитражного суда Московского округа от 16.12.2019,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заявителя выездной налоговой проверки инспекцией вынесено решение от 28.06.2018 № 19, которым доначислены налог на добавленную стоимость в сумме 148 446 005 рублей, начислены пени в сумме 54 736 151 рубля и предложено уменьшить сумму заявленного убытка за 2011-2013 годы на 824 700 026 рублей. Во исполнение решения инспекцией сформировано и направлено налогоплательщику требование об уплате доначисленных сумм в срок до 23.11.2018. Не согласившись с требованием инспекции, заявитель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статей 32 , 45 , 46, 69 , 70 Налогового кодекса Российской Федерации, пришли к выводу о том, что требование налогового органа соответствует законодательству и не нарушает прав и законных интересов общества. Судебные инстанции отметили, что оспариваемое требование сформировано и направлено обществу по телекоммуникационным каналам связи на основании вступившего в силу решения налогового органа. В рассматриваемом случае взыскание доначисленных сумм в принудительном порядке инспекцией не производилось, вопрос о соблюдении общего срока на принудительное взыскание налогов, а также каждого в отдельности срока на совершение определенных действий, предшествующих процедуре взыскания, должен учитываться при рассмотрении вопроса непосредственно о взыскании налоговых платежей. Суд округа поддержал выводы судов первой и апелляционной инстанций.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и процессуального права, повлиявших на исход дела, выражают несогласие с установленными судами фактическими обстоятельствами дела, основаны на ином толковании положений налогового законодательства,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«Татнефть-АЗС-Запад»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"Татнефть-АЗС-Запад" (подробнее) Ответчики: ФНС России Межрегиональная инспекция по крупнейшим налогоплательщикам №3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