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13.05.2019 с общества в пользу департамента взыскано 39 492 103 руб. 54 коп. неустойки, в удовлетворении остальной части иска отказано. Постановлением Десятого арбитражного апелляционного суда от 22.08.2019 решение суда первой инстанции отменено, в удовлетворении иска отказано. Постановлением Арбитражного суда Московского округа от 10.12.2019 постановление суда апелляционной инстанции оставлено без изменения. В кассационной жалобе, поданной в Верховный Суд Российской Федерации, департамент,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отказывая в удовлетворении иска, суд апелляционной инстанции, с которым согласился суд округа, повторно оценив по правилам статьи 71 Арбитражного процессуального кодекса Российской Федерации представленные в материалы дела доказательства, не установил оснований для привлечения ответчика к гражданско-правовой ответственности в виде взыскания неустойки. При этом суды руководствовались положениями статей 309 , 310 , 329 , 330 , 405 , 406 , 702 , 716 , 719 , 740 Гражданского кодекса Российской Федерации, правовой позицией, изложенной в постановлении Президиума Высшего Арбитражного Суда Российской Федерации от 15.06.2004 № 2045/04, и подробно мотивировали свои выводы. Доводы кассационной жалобы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строительства города Москвы для рассмотрения в судебном заседании Судебной коллегии по экономическим спорам Верховного Суда Российской Федерации. Судья Верховного Суда Н.С. Чучунова Российской Федерации Суд: Верховный Суд РФ (подробнее) Истцы: Департамент строительства города Москвы (подробнее) Ответчики: АО "КОМПАНИЯ "БАМАРД"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