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19.06.2019, оставленным без изменения постановлением Одиннадцатого арбитражного апелляционного суда от 11.09.2019, в удовлетворении иска отказано. Арбитражный суд Поволжского округа постановлением от 28.11.2019 решение от 19.06.2019 и постановление Одиннадцатого арбитражного апелляционного суда от 11.09.2019 оставил без изменения. В кассационной жалобе общество «Страховая группа «АСКО» просит об отмене судебных актов вследствие неправомерной квалификации заявленной суммы в качестве неосновательного обогащения, неосновательного признания ответчика слабой стороной и отсутствия у него договорной обязанности по уплате второй части страховой премии в случае неполучения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сельскохозяйственного страхования от 01.06.2016 № СХУ13-ГО/16, суды усмотрели в действиях страховщика нарушение пределов осуществления гражданских прав. Оснований для вмешательства в компетенцию судов на применение последствий, предусмотренных статьей 10 Гражданского кодекса Российской Федерации, на стадии кассационного производства не имеется. Приведенные в жалобе доводы не относятся к мотивам отказа в удовлетворении иска, поэтому не повлияют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СГ "АСКО" (подробнее) Ответчики: Агентство по страхованию вкладов (подробнее) ООО "Симет",Сабинский район, с.Верхний Симет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