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17.07.2019, оставленным без изменения постановлением Седьмого арбитражного апелляционного суда от 17.09.2019 и постановлением Арбитражного суда Западно-Сибирского округа от 12.12.2019, иск удовлетворен. В кассационной жалобе общество «РНК» просит об отмене судебных актов о взыскании с него задолженности, ссылаясь на отсутствие доказательств передачи обязательств по спорной поставке.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обязательства общества «РТК» по спорной поставке не нашли отражения в передаточном акте, составленном в связи с его реорганизацией, поэтому обоснованно применили принцип солидарной ответственности (пункт 5 статьи 60 Гражданского кодекса Российской Федерации). Условия для солидарной ответственности реорганизованного общества «РТК» и выделенного общества «РНК» за исполнение перед истцом обязательств по поставке установлены в пределах рассматриваемого дела без ссылок на установленные в деле № А45-38056/2018 обстоятельства, поэтому отсылка заявителя к последнему делу не создает оснований для кассационного пересмотра обжалуемых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«Русская национальная кухня»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"ЯРСК" (подробнее) Ответчики: ООО "РУССКАЯ НАЦИОНАЛЬНАЯ КУХНЯ" (подробнее) ООО "Русская Традиционная Кухня"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