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03.06.2019, оставленным без изменения постановлениями Девятого арбитражного апелляционного суда от 05.09.2019 и Арбитражного суда Московского округа от 20.12.2019, заявленное требование удовлетворено. В жалобе ФАС России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антимонопольного органа отказано в удовлетворении ходатайства АО «ПТК-Холдинг» о согласовании сделки по приобретению 100 % долей в уставном капитале ООО «Промышленные активы». Основанием для отказа в удовлетворении заявленного ходатайства послужил вывод ФАС России о том, что данная сделка приведет к ограничению конкуренции в результате усиления доминирующего положения АО «ПТК-Холдинг» на рынке подвижного состава (вагонов) с улучшенными техническими характеристиками. Удовлетворяя заявленное требование,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1 части 1 статьи 28, пункта 3 части 1, части 2 статьи 32, подпункта 5 части 2 статьи 33 Федерального закона от 26.07.2006 № 135-ФЗ «О защите конкуренции», Порядком проведения анализа состояния конкуренции на товарном рынке, утвержденным приказом ФАС России от 28.04.2010 № 220 (далее – Порядок № 220), пришли к выводу о том, что решение антимонопольного органа не соответствует положениям действующего законодательства и нарушает права и законные интересы заявителя. При этом судебные инстанции исходили из того, что ФАС России нарушен порядок и правила определения продуктовых и географических границ товарного рынка, на котором осуществляет деятельность заявитель, что привело к необоснованному сокращению количества участников рынка, искажению данных об объеме товарного рынка, завышению доли заявителя и необоснованному выводу о наличии у него доминирующего положения и усилению такого положения в результате совершения сделки. Суды, проанализировав аналитический отчет анализа состояния конкуренции на товарном рынке услуг по предоставлению инновационных полувагонов для перевозок грузов железнодорожным транспортом общего пользования, подготовленный антимонопольным органом с целью выявления случаев возможного недопущения, ограничения или устранения конкуренции, а также с целью прогнозирования динамики развития исследуемого рынка, установили, что он не соответствует требованиям к его содержанию, утвержденным Порядком № 220. Таким образом, суды пришли к выводу о том, что составленный ФАС России аналитический отчет анализа состояния конкуренции на товарном рынке не мог быть положен в основу вывода о доминирующем положении заявителя и усилении такого положения в результате совершения сделки. Доводы кассационной жалобы являлись предметом рассмотрения судов и получили надлежащую правовую оценку, направлены на переоценку установленных по делу обстоятельств,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"ПТК-ХОЛДИНГ"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