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04.07.2019, оставленным без изменения постановлениями Девятого арбитражного апелляционного суда от 01.10.2019 и Арбитражного суда Московского округа от 27.12.2019, в удовлетворении заявленного требования отказано. В кассационной жалобе общество ставит вопрос об отмене принятых по делу судебных актов, ссылаясь на нарушение судами норм права и-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выездной налоговой проверки по вопросам правильности исчисления и своевременности уплаты, удержания и перечисления в бюджет налогов и сборов за период с 01.01.2014 по 31.12.2015 инспекцией вынесено оспариваемое решение о привлечении общества к ответственности за совершение налогового правонарушения, доначислены к уплате налог на прибыль организаций в размере 15 624 873 рублей, налог на добавленную стоимость (далее - НДС) в размере 14 076 578 рублей, соответствующие суммы пеней и штрафа. Основанием для привлечения к ответственности за совершение налогового правонарушения послужил вывод налогового органа о получении обществом необоснованной налоговой выгоды в виде уменьшения налоговый базы по налогу на прибыль организаций и завышения вычетов по НДС по взаимоотношениям с обществами с ограниченной ответственностью «Трансснаб» и «Транспром» (далее – спорные контрагенты) в части перечисления денежных средств в адрес своих поставщиков. Решением Управления Федеральной налоговой службы по г. Москве от 19.09.2018 № 21-19/199626, вынесенным по результатам рассмотрения жалобы общества, решение налогового органа оставлено без изменения. Оценив представленные доказательства по правилам главы 7 Арбитражного процессуального кодекса Российской Федерации, руководствуясь положениями пунктов 1, 2 статьи 171 , статьи 247 , пункта 1 статьи 252 Налогового кодекса Российской Федерации, статьи 9 Федерального закона от 06.12.2011 № 402-ФЗ «О бухгалтерском учете», постановлением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суды пришли к выводу о правомерности произведенных инспекцией доначислений соответствующих налогов, сумм пеней и штрафов. Судебные инстанции исходили из того, что налогоплательщик и спорные контрагенты осуществляли согласованные действия по имитации фактов хозяйственной деятельности с целью неправомерного принятия к вычету НДС и необоснованного занижения расходов при исчислении налога на прибыль организаций. Суды установили, что сделки, совершенные между обществом и спорными контрагентами являются формальными, созданными взаимосвязанными между собой в силу родственных и служебных положений физическими лицами, позволившими организовать фиктивный документооборот в отсутствие реального движения товара, поскольку последним распоряжались одни и те же лица; наличие в действиях указанных лиц схемы по обналичиванию денежных средств. Заявителем не представлены доказательства проявления должной степени осмотрительности при заключении договоров со спорными контрагентами, наличия у них деловой репутации. При этом суды отметили отсутствие смягчающих ответственность обстоятельств, указав, что заявитель в течение длительного времени использовал схему получения необоснованной налоговой выгоды с использованием организаций, не осуществляющих реальной хозяйственной деятельности. Выводы судов основаны не на отдельно установленных фактах и выборочной оценке доказательств, а на результатах исследования и оценки доказательств, представленных сторонами, в их совокупности и взаимосвязи. Доводы налогоплательщика относительно выводов судов не свидетельствуют о неправильном применении норм материального и процессуального права, повлиявшем на исход дела или допущенной судебной ошибке, направлены на иную оценку собранных по делу доказательств и фактических обстоятельств дела, аналогичны доводам, ранее заявлявшимся в судах, которым дана соответствующая правовая оценка.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«Промнефтепродукт»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"Промнефтепродукт" (подробнее) Ответчики: инспекция Федеральной налоговой службы №17 по г. 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