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13.06.2019, оставленным без изменения постановлением Двенадцатого арбитражного апелляционного суда от 28.08.2019 и постановлением Арбитражного суда Поволжского округа от 03.12.2019, в удовлетворении иска отказано. В кассационной жалобе агентство просит об отмене судебных актов, ссылаясь на игнорирование подписания акта об оказании услуг в качестве основания для их оплаты.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размер подлежащего выплате агентству вознаграждения исходя из фактически совершенных действий, что соответствует статьям 779 , 781 Гражданского кодекса Российской Федерации. Доводам об основаниях возникновения обязанности по уплате и характере требуемой суммы дана основанная на законе и судебной практике оценка.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комплексного консалтинга «НЭП»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"Агентство комплексного консалтинга "НЭП" (подробнее) Ответчики: ООО "Стройиндустрия"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