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подает кассационную жалобу на судебные акты по делу № А40-75767/2019 и просит о приостановлении исполнения обжалуемого решения. Обоснование приостановления исполнения решения заводом не приведено, условий для него, требуемых частью 3 статьи 291.6 Арбитражного процессуального кодекса Российской Федерации, не установлено, поэтому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Темп» в приостановлении исполнения решения Арбитражного суда города Москвы от 07.06.2019 по делу № А40-75767/2019. Судья Верховного Суда Российской Федерации Н.А. Ксенофонтова Суд: Верховный Суд РФ (подробнее) Истцы: АО "МОСКОВСКИЙ МАШИНОСТРОИТЕЛЬНЫЙ ЗАВОД "АВАНГАРД" (подробнее) Ответчики: ООО "Завод Темп" (подробнее) Судьи дела: Ксенофонтова Н.А. (судья) (подробнее) Последние документы по делу: Определение от 3 апреля 2020 г. по делу № А40-75767/2019 Определение от 31 января 2020 г. по делу № А40-75767/2019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