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его требования в реестр требований кредиторов должника. Определением Арбитражного суда города Москвы от 04.10.2019 в третью очередь реестра требований кредиторов должника включено требование банка в размере 445 475 рублей 77 копеек, отказано в удовлетворении остальной части требований. Постановлением Девятого арбитражного апелляционного суда от 16.12.2019, оставленным без изменения постановлением Арбитражного суда Московского округа от 02.03.2020, отменено определение суда первой инстанции от 04.10.2019 в части отказа в удовлетворении требований, в третью очередь реестра требований кредиторов должника включены требования банка в размере 1 866 429 рублей 53 копеек, в том числе 1 849 507 руб. 36 коп. основного долга, 7 838 руб. 87 коп. процентов, как обеспеченные залогом следующего имущества: квартира, расположенная на 6 этаже, общей площадью 36,9 кв.м., расположенный по адресу: г. Москва, г. Зеленоград, корп. 2038, кв. 34, кадастровый/условный номер 77:10:0006008:6466. Не согласившись с вышеуказанными судебными актами, Подгузова О.М. обратилась в Верховный Суд Российской Федерации с кассационной жалобой 2 на постановление суда округа,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ввиду наличия вероятности реализации указанного заложенного имущества на торгах,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Подгузовой Ольги Михайловны о приостановлении исполнения постановления Девятого арбитражного апелляционного суда от 16.12.2019 по делу № А40-191/2019, оставленного без изменения постановлением и постановлением Арбитражного суда Московского округа от 02.03.2020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