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17.07.2019, оставленным без изменения постановлением Семнадцатого арбитражного апелляционного суда от 09.10.2019, договор банковского обслуживания от 16.11.2018 № 9216-РС-26390 признан расторгнутым с 22.02.2019, на банк возложена обязанность исполнить операцию по безналичному перечислению 1 317 452 рублей 32 копеек со счета общества в пользу общества с ограниченной ответственностью «АЛК Групп Екатеринбург» на основании распоряжения от 15.02.2019. Арбитражный суд Уральского округа постановлением от 20.12.2019 решение от 17.07.2019 и постановление Семнадцатого арбитражного апелляционного суда от 09.10.2019 оставил без изменения. В кассационной жалобе банк просит об отмене судебных актов, ссылаясь на неполное исследование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подало заявление о расторжении договора банковского счета и переводе остатка денежных средств на счет указанного лица. Такие действия суд правомерно оценил как основанные на статье 859 Гражданского кодекса Российской Федерации. Выдвигаемые банком связанные с деятельностью общества возражения не создают основания для удержания денежных средств после прекращения договора.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"ГринЛайт" (подробнее) Ответчики: ПАО Уральский банк реконструкции и развития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