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11.07.2019, оставленным без изменения постановлениями Шестого арбитражного апелляционного суда от 20.09.2019 и Арбитражного суда Северо-Кавказского округа от 16.12.2019,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право заключения контракта на оказание образовательных услуг, в связи с чем на него возложена обязанность разместить подписанный проект контракта на электронной площадке и предоставить обеспечение его исполнения. Поскольку заявителем не исполнена обязанность по заключению контракта и предоставлению обеспечения в установленные законом сроки, заказчик обратился в антимонопольный орган с информацией о поставщике, признанном уклонившимся от заключения контракта по итогам электронного аукциона. По результатам рассмотрения представленных сведений антимонопольным органом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2 Гражданского кодекса Российской Федерации, статей 83.2, 104 Закона о контрактной системе, Правилами № 1062, суды пришли к выводу о соответствии оспариваемого ненормативного правового акта управления действующему законодательству с учетом установленных по делу обстоятельств. При этом судебные инстанции исходили из недоказанности обстоятельств, которые помешали обществу выполнить свои обязательства. Суды отметили, что обществом не была проявлена та степень заботливости и осмотрительности, которая от него требовалась для заключения контракта, в поведении общества имеются признаки недобросовестности, и включение сведений о нем в реестр недобросовестных поставщиков при установленных обстоятельствах является необходимой мерой его ответственности, поскольку служит для ограждения государственных заказчиков от недобросовестных поставщиков.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Существенных нарушений норм процессуального права, являющихся безусловным основанием для отмены судебных актов, как это предусмотрено частью 4 статьи 288 Арбитражного процессуального кодекса,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Центр делового сотрудничества «Гарантия»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ЦЕНТР ДЕЛОВОГО СОТРУДНИЧЕСТВА "ГАРАНТИЯ"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