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17.05.2019, оставленным без изменения постановлениями Пятнадцатого арбитражного апелляционного суда от 12.09.2019 и Арбитражного суда Северо-Кавказского округа от 20.12.2019,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победителем электронного аукциона на оказание услуг по предпочтовой подготовке и почтовой рассылке регистрируемых почтовых отправлений постановлений об административных правонарушениях, зафиксированных системами фотовидеофиксации нарушений ПДД, в связи с чем учреждением (заказчик) в адрес общества направлен проект контракта. Поскольку представленная обществом банковская гарантия не соответствовала требованиям законодательства о контрактной системе и аукционной документации, а именно: указанный в банковской гарантии срок действия превышает срок действия контракта менее чем на один месяц, что не соответствует требованиям пункта 5 части 2 статьи 45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пункту 8.1. проекта контракта, заказчик обратился в антимонопольный орган с заявлением о включении сведений об обществе в реестр недобросовестных поставщиков, в связи с уклонением его от заключения контракта. По результатам рассмотрения представленных сведений управлением вынесено оспариваемое решение, которым сведения в отношении общества и его учредителя внесены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45, 83.2, 96, 104 Закона о контрактной системе,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суды пришли к выводу о соответствии ненормативного акта действующему законодательству с учетом установленных по делу обстоятельств. При этом судебные инстанции исходили из того, что представленная обществом банковская гарантия является ненадлежащей, что, в свою очередь, является основанием для признания лица уклонившимся от заключения контракта и включения сведений о таком лице в реестр недобросовестных поставщиков. Суды указали, что заявитель не принял все возможные и зависящие от него меры для соблюдения норм и правил действующего законодательства, регулирующего порядок заключения государственного контракта, не проявил необходимой внимательности и осмотрительности при осуществлении своей деятельности. Доводы кассационной жалобы являлись предметом рассмотрения судов и получили надлежащую правовую оценку, основаны на ошибочном толковании норм права,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Судами не допущено существенных нарушений норм процессуального права, являющихся безусловным основанием для отмены судебных актов, как это предусмотрено частью 4 статьи 288 Арбитражного процессуального кодекса.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 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Межрегиональной специализированной организации «Ценный советник»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Межрегиональная специализированная организация "Ценный Советник" (подробнее) Ответчики: Управление Федеральной антимонопольной службы Российской Федерации по Республике Адыгея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