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решение Арбитражного суда города Москвы от 29.04.2019, постановление Девятого арбитражного апелляционного суда от 25.07.2019 и постановление Арбитражного суда Московского округа от 18.12.2019,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Ходатайство Общества мотивировано следующим: первоначально поданная им жалоба в связи с отсутствием необходимого пакета документов (не приложены документы, подтверждающие уплату государственной пошлины в установленном Налоговым кодексом Российской Федерации размере) возвращена Верховным Судом Российской Федерации письмом от 26.02.2020; после получения письма о возращении жалобы Общество устранило недостатки и вновь направило жалобу в Верховный Суд Российской Федерации, приложив ходатайство о восстановлении пропущенного срока на подачу жалобы и необходимые документы.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Общество первоначально обратилось с кассационной жалобой в пределах установленного срока обжалования и после возвращения кассационной жалобы устранило недостатки, послужившие основанием для ее возвращения, ходатайство о восстановлении пропущенного процессуального срока заявлено Обществом в пределах шестимесячного срока, причины пропуска срока признаны судом уважительными, данное ходатайство подлежит удовлетворению на основании части 2 статьи 291.2 АПК РФ . Принимая во внимание изложенное и руководствуясь статьями 117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«Юридическая компания «Зевс» о восстановлении пропущенного процессуального срока на подачу кассационной жалобы на решение Арбитражного суда города Москвы от 29.04.2019, постановление Девятого арбитражного апелляционного суда от 25.07.2019 и постановление Арбитражного суда Московского округа от 18.12.2019 по делу № А40-15174/2019.Судья Верховного Суда Российской Федерации Н.С. Чучунова Суд: Верховный Суд РФ (подробнее) Истцы: ООО "ЮРИДИЧЕСКАЯ КОМПАНИЯ "ЗЕВС" (подробнее) Ответчики: АО "Лизинговая компания "Европлан" (подробнее) Судьи дела: Чучунова Н.С. (судья) (подробнее) Последние документы по делу: Определение от 28 апреля 2020 г. по делу № А40-15174/2019 Определение от 2 апреля 2020 г. по делу № А40-15174/2019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