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«Реконструкция-НН» о восстановлении пропущенного процессуального срока на подачу кассационной жалобы отказать. Возвратить обществу с ограниченной ответственностью «Реконструкция-НН» кассационную жалобу на решение Арбитражного суда Нижегородской области от 28.03.2019, постановление Первого арбитражного апелляционного суда от 18.07.2019 и постановление Арбитражного суда Волго-Вятского округа от 04.12.2019 по делу № А43-46782/2018. Возвратить обществу с ограниченной ответственностью ««Реконструкция-НН» из федерального бюджета 3000 (шесть тысяч) рублей государственной пошлины, уплаченных по платежному поручению от 20.03.2020 № 2990. Выдать обществу с ограниченной ответственностью «Реконструкция-НН» справку на возврат государственной пошлины. Судья Верховного Суда Российской Федерации Н.С. Чучунова Суд: Верховный Суд РФ (подробнее) Истцы: Комитет по управлению городским имуществом и земельными ресурсами администрации города Нижнего Новгорода (подробнее) Ответчики: ООО "Реконструкция-НН"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