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11.06.2018, оставленным без изменения постановлением Девятнадцатого арбитражного апелляционного суда от 17.09.2019 и постановлением Арбитражного суда Центрального округа от 12.12.2019, с общества в пользу компании взыскано 1 955 600 руб. долга, 89 716 руб. 49 коп. процентов за пользование чужими денежными средствами за период с 17.08.2018 по 25.03.2019, 258 700 руб. убытков, в удовлетворении остальной части требований отказано.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в части отказа в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Принимая судебные акты в обжалуемой части, суды руководствовались положениями статей 15 , 168 , 180 , 400 , 421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того, что изложенное в пункте 5.6 договора соглашение об ограничении ответственности не противоречит требованиям законодательства, а совокупность условий для взыскания с ответчика убытков в виде упущенной выгоды истцом не доказана. Выводы судов подробно мотивированы, основаны на представленных в материалы дела доказательствах и установленных на их основании фактических обстоятельствах.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«Агропромышленная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"Агропромышленная компания" (подробнее) Ответчики: ООО ТД "Главпанель" (подробнее) Судьи дела: Чучунова Н.С. (судья) (подробнее) Судебная практика по: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