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«ТНК-ТРАСТ» обратилось в Арбитражный суд Свердловской области с иском о взыскании с общества с ограниченной ответственностью «Экорециклтехнолоджи» (прежнее наименование – общество с ограниченной ответственностью «Техэнергопром») 954 000 рублей штрафа за сверхнормативный простой вагонов. Решением Арбитражного суда Свердловской области от 19.04.2019 иск удовлетворен. Постановлением Семнадцатого арбитражного апелляционного суда от 07.08.2019 решение суда первой инстанции оставлено без изменения. Арбитражный суд Уральского округа постановлением от 11.12.2019 указанные судебные акты оставил без изменения. Общество с ограниченной ответственностью «Экорециклтехнолоджи»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ненадлежащего исполнения договорных обязательств ответчиком и нарушение им нормативного срока нахождения вагонов на станциях погрузки/выгрузки, что в соответствии с условиями договора влечет наложение штрафа, учитывая непредставление ответчиком доказательств объективной невозможности соблюдения согласованных сроков оборота вагонов, руководствуясь положениями статей 309 , 310 , 329 , 330 , 431 Гражданского кодекса Российской Федерации, суды пришли к выводу об обоснованности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«Экорециклтехнолоджи»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ТНК-ТРАСТ (подробнее) Ответчики: ООО "ТЕХЭНЕРГОПРОМ"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