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«Мостострой-12» (далее – общество «Мостострой-12») обратилось в Арбитражный суд города Москвы с иском, измененным в порядке статьи 49 Арбитражного процессуального кодекса Российской Федерации (далее – АПК РФ), о солидарном взыскании с акционерного общества «Корпорация Развития» (далее – общество «Корпорация Развития») и общества с ограниченной ответственностью «УралСтройТехнологии» (далее – общество «УралСтройТехнологии») 1 707 840 489 рублей 22 копеек задолженности и 369 780 408 рублей 18 копеек процентов за пользование чужими денежными средствами. В свою очередь, общество «УралСтройТехнологии» заявило встречные требования, измененные в порядке статьи 49 АПК РФ , о взыскании с общества «Мостострой-12» 2 639 371 509 рублей 65 копеек неосновательного обогащения и 426 899 933 рублей 85 копеек процентов за пользование чужими денежными средствами. Решением Арбитражного суда города Москвы от 03.11.2016, оставленным без изменения постановлением Девятого арбитражного апелляционного суда от 06.04.2017 и постановлением Арбитражного суда Московского округа от 23.08.2017, первоначальный иск удовлетворен в полном объеме; в удовлетворении встречных требований отказано. Общества «УралСтройТехнологии» и «Корпорация Развития» обратились в Верховный Суд Российской Федерации с кассационными жалобами на состоявшиеся по делу судебные акты. Вместе с кассационными жалобами названными лицами были заявлены ходатайства о приостановлении исполнения решения суда первой инстанции, мотивированные тем, что в отношении общества «Мостострой-12» возбуждено дело о несостоятельности (банкротстве), что существенно затруднит или сделает невозможным поворот исполнения судебного акта, а в отношении должностных лиц названного хозяйствующего субъекта правоохранительными органами проводятся оперативные мероприятия. Также заявители указывают, что в отношении эксперта, проводившего экспертизу по настоящему делу, возбуждено уголовное дело по статье 307 Уголовного кодекса Российской Федерации. Кроме того, ответчики обращают внимание, что финансируются за счет субъектов Российской Федерации, а перераспределение денежных средств для погашения задолженности в столь крупном размере сделает невозможным исполнение целевых программ. В соответствии с частями 3, 4 статьи 291.6 АПК РФ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Поскольку заявитель не обосновал невозможность поворота исполнения судебных актов, и каким образом испрашиваемая мера обеспечит баланс взаимных прав и обязанностей сторон, суд не находит правовых оснований для удовлетворения ходатайства. Доводы заявителя носят предположительный характер, в связи с чем не могут служить достаточным основанием для приостановления оспариваемых судебных актов. На основании изложенного,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 общества с ограниченной ответственностью «УралСтройТехнологии» и акционерного общества «Корпорация Развития» о приостановлении исполнения решения Арбитражного суда города Москвы от 03.11.2016 по делу № А40-163425/2014. Судья Верховного Суда Российской Федерации Н.С.Чучунова Суд: Верховный Суд РФ (подробнее) Истцы: ООО "Мостострой-12" (подробнее) ООО Мостострой-12 (подробнее) Ответчики: АО "Корпорация Развития" (подробнее) ОАО "КОРПОРАЦИЯ РАЗВИТИЯ" (подробнее) ООО "УРАЛСТРОЙТЕХНОЛОГИИ" (подробнее) Иные лица: ООО "БРУНО ФИНАНС" (подробнее) Судьи дела: Чучунова Н.С. (судья) (подробнее) Последние документы по делу: Определение от 1 апреля 2020 г. по делу № А40-163425/2014 Определение от 20 декабря 2017 г. по делу № А40-163425/2014 Определение от 5 декабря 2017 г. по делу № А40-163425/2014 Определение от 25 октября 2017 г. по делу № А40-163425/2014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