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«Минерал» обратилось в Арбитражный суд Республики Марий Эл с иском, уточненным в порядке статьи 49 Арбитражного процессуального кодекса Российской Федерации, к государственному казенному учреждению культуры Республики Марий Эл «Научно-производственный центр по охране и использованию памятников истории и культуры» о взыскании 10 173 643 рублей убытков в виде реального ущерба, 3 942 257 рублей убытков в виде упущенной выгоды, а при недостаточности денежных средств взыскании в порядке солидарной ответственности с Республики Марий Эл в лице Министерства культуры, печати и по делам национальностей Республики Марий Эл.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«Литейный двор «Гемма». Решением Арбитражного суда Республики Марий Эл от 30.05.2019 в удовлетворении иска отказано. Постановлением Первого арбитражного апелляционного суда от 09.09.2019 решение суда первой инстанции оставлено без изменения. Арбитражный суд Волго-Вятского округа постановлением от 12.12.2019 указанные судебные акты оставил без изменения. Общество с ограниченной ответственностью «Минерал»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453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суды сделали вывод о недоказанности заявленных требований.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«Минерал»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Минерал (подробнее) Ответчики: РМЭ в лице Министерства культуры, печати и по делам национальностей РМЭ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