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«СтройРесурс» обратилось в Арбитражный суд города Москвы с иском к обществу с ограниченной ответственностью «Юрисклассик» о расторжении договора на оказание возмездных консалтинговых услуг от 09.02.2018 № 2018-02/257 и взыскании 800 000 рублей неосновательного обогащения. Решением Арбитражного суда города Москвы от 18.04.2019 в удовлетворении иска отказано. Постановлением Девятого арбитражного апелляционного суда от 05.08.2019 решение суда первой инстанции оставлено без изменения. Арбитражный суд Московского округа постановлением от 05.12.2019 указанные судебные акты оставил без изменения. Общество с ограниченной ответственностью «СтройРесурс» обратилось в Судебную коллегию Верховного Суда Российской Федерации с кассационной жалобой на принятые по делу судебные акты,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руководствуясь положениями статей 781 , 782 , 1102 Гражданского кодекса Российской Федерации, суды пришли к выводу о недоказанности иска.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«СтройРесурс»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Стройресурс (подробнее) Ответчики: ООО ОРИСКЛАССИК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