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администрация 27.03.2020 направила в Верховный Суд Российской Федерации кассационную жалобу на указанные судебные акты и одновременно заявила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2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Оценив приведенные заявителем причины пропуска процессуального срока, учитывая своевременное направление первоначальной жалобы (06.03.2020) и основания ее возврата, суд признает их уважительными. Поскольку ходатайство о восстановлении пропущенного процессуального срока заявлено в пределах установленного срока, причины пропуска срока признаны судом уважительными, данное ходатайство подлежит удовлетворению на основании части 2 статьи 291.2 Арбитражного процессуального кодекса Российской Федерации. Руководствуясь статьями 117, 184,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административной комиссии внутригородского района «Ленинский район» города Махачкалы о восстановлении пропущенного срока удовлетворить, пропущенный срок на подачу кассационной жалобы восстановить. Судья Верховного Суда Российской Федерации Т.В. Завьялова 3</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