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операций от 05.09.2016 по перечислению денежных средств в размере 68 842 610 рублей и в размере 6 527 834 рублей со счетов общества № 4070281040020000087 и № 40702810300240000035, открытых в банке, на счёт общества, открытый в другой кредитной организации, применении последствий недействительности сделок. Определением Арбитражного суда города Москвы от 17.08.2018, оставленным без изменения постановлением Девятого арбитражного апелляционного суда от 30.11.2018, требования удовлетворены. Постановлением Арбитражного суда Московского округа от 20.02.2019 указанные судебные акты отменены, дело направлено на новое рассмотрение в суд первой инстанции. При новом рассмотрении определением Арбитражного суда города Москвы от 09.08.2019 требования удовлетворены, применены последствия недействительности сделок в виде взыскания с общества в пользу должника денежных средств в общем размере 75 370 444 рублей, восстановлена задолженность банка перед обществом по счёту № 40702810400240000087 2 в размере 68 842 610 рублей и по счёту № 40702810300240000035 в размере 6 527 834 рублей. Постановлением Девятого арбитражного апелляционного суда от 15.10.2019 отменено определение суда первой инстанции от 09.08.2019, отказано в удовлетворении требований. Постановлением Арбитражного суда Московского округа от 21.01.2020 отменено постановление апелляционной инстанции от 15.10.2019, оставлено в силе определение суда первой инстанции от 09.08.2019. В кассационной жалобе, поданной в Верховный Суд Российской Федерации, заявитель просит отменить принятое на новом рассмотрении постановление суда округа,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189.40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совершения оспариваемых операций в течение месяца до назначения временной администрации по управлению кредитной организацией при наличии скрытой картотеки неисполненных платёжных документов (с 05.09.2016), за пределами обычной хозяйственной деятельности.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указанными выводами судов первой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«ПРОТОН»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