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Назаров О.В. обратился в Арбитражный суд Челябинской области с заявлением о признании жилого дома, расположенного по адресу: Московская область, Одинцовский район, дер. Рождественно, пос. Барвиха-Клаб, единственным пригодным для проживания должника и членов его семьи жилым помещением и об исключении данного имущества из конкурсной массы. Определением суда первой инстанции от 13.06.2019 в удовлетворении заявления отказано. Постановлением суда апелляционной инстанции от 16.08.2019 определение суда первой инстанции от 13.06.2019 отменено, заявление удовлетворено. Постановлением суда округа от 02.12.2019, постановление суда апелляционной инстанции от 16.08.2019 отменено, определение суда первой инстанции от 13.09.2019 оставлено в силе. В кассационной жалобе, поданной в Верховный Суд Российской Федерации, заявители просят отменить принятые по обособленному спору 2 судебные акты судов первой инстанции и округа, оставив в силе постановление суда апелляционной инстанции. Изучив обжалуемые судебные акты, судья не находит оснований для их пересмотра в порядке кассационного производства Судебной коллегией Верховного Суда Российской Федерации. Отменяя постановление суда апелляционной инстанции и оставляя в силе определение суда первой инстанции, суд округа, руководствуясь статьями 10 и 446 Гражданского кодекса Российской Федерации, статьями 213.9, 213.25 Федерального закона от 26.10.2002 № 127-ФЗ «О несостоятельности (банкротстве)», учитывая разъяснения, содержащиеся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постановлении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исходил из доказанности совершения должником неоправданных сделок по отчуждению жилой недвижимости в преддверии банкротства, что свидетельствует о создании приоритета в отношении имущественных интересов, в связи с чем отказал в удовлетворении заявления. Выводы судов первой инстанций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заявителей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кассационных жалоб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