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«Евро Хоум Билдинг» (в настоящее время именуемой акционерным обществом «Политехстрой»; далее – генеральный подрядчик) обратилось в суд с заявлением о включении в реестр требований кредиторов должника 46 471 572 рублей 48 копеек неотработанного аванса. Определением Арбитражного суда Московской области от 13.05.2019, оставленным без изменения постановлениями Десятого арбитражного апелляционного суда от 07.08.2019 и Арбитражного суда Московского округа от 03.12.2019,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453 , 711 , 746 , 1102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 факт неисполнения должником обязательств перед генподрядчиком, в одностороннем порядке расторгнувшим ранее заключенные с ним договоры подряда и справедливо претендующим на получение перечисленных и неотработанных авансов, начисленных неустойки и процентов, пришли к выводу о наличии оснований для включения заявленного требования в реестр.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единственному участнику общества с ограниченной ответственностью «Ремстрой»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"ЕВРО ХОУМ БИЛДИНГ" (подробнее) Межрайонная инспекция Федеральной налоговой службы №2 по Московской области (подробнее) МИФНС №2 по МО (подробнее) НО "Фонд развития тенниса в России" (подробнее) ООО "ВЕНТКЛИМАТ" (подробнее) ООО СТРОИТЕЛЬНАЯ КОМПАНИЯ "ПРИОРИТЕТ" (подробнее) ООО "СТРОИТЕЛЬСТВО И РЕМОНТ" (подробнее) ООО "Телса" (подробнее) ООО "ЧАСТНОЕ ОХРАННОЕ ПРЕДПРИЯТИЕ МАЯК+" (подробнее) Ответчики: ООО "Ремстрой" (подробнее) Иные лица: АО "ПОЛИТЕХСТРОЙ" (подробнее) К/у Берсенев А.А. (подробнее) НП "Центр финансового оздоровления предприятий агропромышленного комплекса" (подробнее) Участник должнка Мешкова М А (подробнее) Судьи дела: Корнелюк Е.С.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