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Куколев А.Д. обратился в суд с заявлением о взыскании с Войтенока Алексея Витальевича, Кудрявцева С.В., Майковой Светланы Валерьевны, Медведева Максима Викторовича, Стеняхина Андрея Владимировича, Зогалевой Майи Николаевны, Исаевой Оксаны Степановны, Коровникова Максима Валентиновича убытков в размере 2 799 331 рубля и с Тепловой Ольги Михайловны убытков в размере 1 045 107 рублей. Определением Арбитражного суда Московской области от 01.04.2019 отказано в удовлетворении заявления. Постановлением Десятого арбитражного апелляционного суда от 07.10.2019, оставленным без изменения постановлением Арбитражного суда Московского округа от 30.12.2019, изменено определение суда первой инстанции от 01.04.2019, с Коровникова М.В. в пользу должника взыскано 1 031 038 рублей, в остальной части определение оставлено без изменения. В кассационных жалобах, поданных в Верховный Суд Российской Федерации, заявители просят отменить указанные постановления судов апелляционной инстанции и округа.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Изменяя определение суда первой инстанции и частично удовлетворяя требования,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15 и 53.1 Гражданского кодекса Российской Федерации, статьи 147 Жилищного кодекса Российской Федерации, признав неправомерность получения Коровниковым М.В., являвшимся председателем правления должника, вознаграждения за работу в должностях главного бухгалтера, уборщика, слесаря в указанном размере, исходил из обоснованности требований в данной части и наличия причинно-следственной связи между действиями Коровникова М.В. и убытками на стороне должника, указав на отсутствие доказательств того, что Коровников М.В. в период с июля 2015 года по декабрь 2016 года выполнял трудовые функции слесаря, сантехника и уборщика. Суд округа поддержал выводы суда апелляционной инстанции. Выводы судов апелляционной инстанции и округа соответствуют нормам права, оснований для переоценки выводов судов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Несогласие заявителей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Кудрявцеву Сергею Васильевичу и Коровникову Максиму Валентиновичу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