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«Инвестиционная компания «Капитал» обратилось в суд с заявлением о признании неправомерными действий конкурсного управляющего должником, выраженных в предоставлении полномочий на представление интересов конкурсного управляющего члену комитета кредиторов Барсукову Денису Евгеньевичу. Определением Арбитражного суда Тюменской области от 01.07.2019, оставленным без изменения постановлениями Восьмого арбитражного апелляционного суда от 03.10.2019 и Арбитражного суда Западно-Сибирского округа от 06.12.2019, требования удовлетворены.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17 и 189.78 Федерального закона от 26.10.2002 № 127-ФЗ «О несостоятельности (банкротстве)», установив, что наделение Барсукова Д.Е. полномочиями по представлению интересов конкурсного управляющего должником создаёт конфликт интересов между кредиторами и конкурсным управляющим, пришли к выводу об обоснованности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«Сибирский банк реконструкции и развития»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