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07.10.2019, оставленным без изменения постановлением Первого арбитражного апелляционного суда от 21.11.2019 и постановлением Арбитражного суда Волго-Вятского округа от 16.01.2020, исковое заявление общества и ФИО2 возвращено. В кассационной жалобе, поданной в Верховный Суд Российской Федерации, общество и ФИО2 просят отменить указанные судебные акты, ссылаясь на нарушение судами норм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Принимая обжалуемые судебные акты, суды руководствовались положениями статей 4 , 125 , 126 , 129 Арбитражного процессуального кодекса Российской Федерации и исходили в том числе из того, что истцами не соблюден претензионный порядок урегулирования спора. Право заявителей на судебную защиту не нарушено, поскольку в соответствии с частью 6 статьи 129 Арбитражного процессуального кодекса Российской Федерации возвращение искового заявления не препятствует повторному обращению с таким же заявлением в арбитражный суд в общем порядке. Изложенные в кассационной жалобе доводы не свидетельствуют о наличии предусмотренных частью 7 статьи 291.6 Арбитражного процессуального кодекса Российской Федерации оснований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«ЖилРесурс» в лице конкурсного управляющего ФИО1, а также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"Жилресурс" (подробнее) Ответчики: Администрация Петушинского района Владимирской области (подробнее) Петушинский р-н в лице финансового управления Администрации Петушинского р-на Владимирской области (подробнее) Финансовое управление администрации Петушинского района Владимирской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