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«Бухта Радости» удовлетворить. Срок подачи кассационной жалобы на постановление Девятого арбитражного апелляционного суда от 20.05.2019 и постановление Арбитражного суда Московского округа от 29.08.2019 по делу № А40-157175/2018 восстановить.Судья Верховного Суда Российской Федерации Н.С. Чучунова Суд: Верховный Суд РФ (подробнее) Истцы: ЗАО "Бухта Радости" (подробнее) Ответчики: ГБУ г. Москвы "Доринвест" (подробнее) Судьи дела: Чучунова Н.С. (судья) (подробнее) Последние документы по делу: Определение от 30 марта 2020 г. по делу № А40-157175/2018 Определение от 4 февраля 2020 г. по делу № А40-157175/2018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